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 октября 2011 г.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О ПОРЯДКЕ СОГЛАСОВАНИЯ ТЕХНИЧЕСКИХ ЗАДАНИЙ НА ПОСТАВКУ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ТОВАРОВ, ВЫПОЛНЕНИЕ РАБОТ И ОКАЗАНИЕ УСЛУГ В ОБЛАСТИ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ИНФОРМАЦИОННЫХ ТЕХНОЛОГИЙ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Список изменяющих документов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(в ред. распоряжений 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03.07.2012 № 190-р, от 22.08.2013 № 299-р, от 27.01.2017 № 21-р,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26.12.2017 № 276-р, от 21.06.2018 № 173-р, от 11.09.2020 № 195-р,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01.12.2020 № 271-р,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22.10.2024 № 284-р, от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05.08.2025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№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223-р</w:t>
      </w:r>
      <w:r/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/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В целях повышения эффективности закупок компьютерной и организационной техники, системного и прикладного программного обеспечения, коммуникационного оборудования, выполнения работ и оказания услуг в области информационных технологий и связи: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1. Утвердить: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1) перечень системного и прикладного программного обеспечения, товаров, работ и услуг в области информационных технологий согласно приложению № 1 к настоящему распоряжению;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2) порядок согласования технических заданий на поставку товаров, выполнение работ и оказание услуг в области информационных технологий согласно приложению № 3 к настоящему распоряжению.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(п. 1 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2. Департаменту цифровой трансформации Администрации Томской области: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1</w:t>
      </w:r>
      <w:r>
        <w:rPr>
          <w:rFonts w:ascii="PT Astra Serif" w:hAnsi="PT Astra Serif" w:cs="PT Astra Serif"/>
          <w:sz w:val="24"/>
          <w:szCs w:val="24"/>
        </w:rPr>
        <w:t xml:space="preserve">) не реже одного раза в год разрабатывать типовое техническое задание на поставку компьютерной и организационной техники, системного и прикладного программного обеспечения, коммуникационного оборудования, выполнение работ и оказание услуг в области информа</w:t>
      </w:r>
      <w:r>
        <w:rPr>
          <w:rFonts w:ascii="PT Astra Serif" w:hAnsi="PT Astra Serif" w:cs="PT Astra Serif"/>
          <w:sz w:val="24"/>
          <w:szCs w:val="24"/>
        </w:rPr>
        <w:t xml:space="preserve">ционных технологий (далее - типовое техническое задание);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2) согласовывать типовое техническое задание с Департаментом государственного заказа Томской области;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3</w:t>
      </w:r>
      <w:r>
        <w:rPr>
          <w:rFonts w:ascii="PT Astra Serif" w:hAnsi="PT Astra Serif" w:cs="PT Astra Serif"/>
          <w:sz w:val="24"/>
          <w:szCs w:val="24"/>
        </w:rPr>
        <w:t xml:space="preserve">) разработать формы согласования технических заданий на поставку товаров, выполнение работ и оказание услуг в области информационных технологий, создаваемых и приобретаемых за счет средств областного бюджета (далее - формы согласования технических заданий)</w:t>
      </w:r>
      <w:r>
        <w:rPr>
          <w:rFonts w:ascii="PT Astra Serif" w:hAnsi="PT Astra Serif" w:cs="PT Astra Serif"/>
          <w:sz w:val="24"/>
          <w:szCs w:val="24"/>
        </w:rPr>
        <w:t xml:space="preserve">;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(пп. 3 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4</w:t>
      </w:r>
      <w:r>
        <w:rPr>
          <w:rFonts w:ascii="PT Astra Serif" w:hAnsi="PT Astra Serif" w:cs="PT Astra Serif"/>
          <w:sz w:val="24"/>
          <w:szCs w:val="24"/>
        </w:rPr>
        <w:t xml:space="preserve">) обеспечивать опубликование форм согласования технических заданий и типового технического задания в информационно-телекоммуникационной сети «Интернет» на сайте Департамента цифровой трансформации Администрации Томской области https://digital.tomsk.gov.ru </w:t>
      </w:r>
      <w:r>
        <w:rPr>
          <w:rFonts w:ascii="PT Astra Serif" w:hAnsi="PT Astra Serif" w:cs="PT Astra Serif"/>
          <w:sz w:val="24"/>
          <w:szCs w:val="24"/>
        </w:rPr>
        <w:t xml:space="preserve">в подразделе «Закупки в сфере ИКТ» раздела «Деятельность».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(пп. 4 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 (п. 2 в ред. распоряжения Губернатора Томской области от 26.12.2017 № 276-р)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3. Исключен. - Распоряжение Губернатора Томской области от 22.08.2013 № 299-р.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4.</w:t>
      </w:r>
      <w:r>
        <w:rPr>
          <w:rFonts w:ascii="PT Astra Serif" w:hAnsi="PT Astra Serif" w:cs="PT Astra Serif"/>
          <w:sz w:val="24"/>
          <w:szCs w:val="24"/>
        </w:rPr>
        <w:t xml:space="preserve"> Исполнительным органам Томской области, областным государственным казенным учреждениям, областным государственным бюджетным учреждениям в случае осуществления закупки в соответствии с Федеральным законом от 5 апреля 2013 года </w:t>
        <w:br/>
        <w:t xml:space="preserve">№ 44-ФЗ «О контрактной систе</w:t>
      </w:r>
      <w:r>
        <w:rPr>
          <w:rFonts w:ascii="PT Astra Serif" w:hAnsi="PT Astra Serif" w:cs="PT Astra Serif"/>
          <w:sz w:val="24"/>
          <w:szCs w:val="24"/>
        </w:rPr>
        <w:t xml:space="preserve">м</w:t>
      </w:r>
      <w:r>
        <w:rPr>
          <w:rFonts w:ascii="PT Astra Serif" w:hAnsi="PT Astra Serif" w:cs="PT Astra Serif"/>
          <w:sz w:val="24"/>
          <w:szCs w:val="24"/>
        </w:rPr>
        <w:t xml:space="preserve">е в сфере закупок товаров, работ, услуг для обеспечения государственных и муниципальных нужд» (далее - Федеральный закон), за исключением осуществления закупок в соответствии со статьей 93 Федерального закона, согласовывать с Департаментом цифровой трансфо</w:t>
      </w:r>
      <w:r>
        <w:rPr>
          <w:rFonts w:ascii="PT Astra Serif" w:hAnsi="PT Astra Serif" w:cs="PT Astra Serif"/>
          <w:sz w:val="24"/>
          <w:szCs w:val="24"/>
        </w:rPr>
        <w:t xml:space="preserve">рмации Администрации Томской области технические задания на поставку товаров, выполнение работ и оказание услуг в области информационных технологий в соответствии с порядком и перечнем, утвержденными настоящим распоряжением.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(п. 4 в ред. распоряжения Губернатора Томской области от 22.10.2024 № 284-р)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4-1. Утратил силу. - Распоряжение Губернатора Томской области от 22.10.2024 </w:t>
        <w:br/>
        <w:t xml:space="preserve">№ 284-р.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5.</w:t>
      </w:r>
      <w:r>
        <w:rPr>
          <w:rFonts w:ascii="PT Astra Serif" w:hAnsi="PT Astra Serif" w:cs="PT Astra Serif"/>
          <w:sz w:val="24"/>
          <w:szCs w:val="24"/>
        </w:rPr>
        <w:t xml:space="preserve"> Признать утратившим силу распоряжение Губернатора Томской области </w:t>
        <w:br/>
        <w:t xml:space="preserve">от 29.05.2009 № 159-р «О поставках компьютерной и организационной техники, системного и прикладного программного обеспечения, коммуникационного оборудования, выполнении работ и оказании ус</w:t>
      </w:r>
      <w:r>
        <w:rPr>
          <w:rFonts w:ascii="PT Astra Serif" w:hAnsi="PT Astra Serif" w:cs="PT Astra Serif"/>
          <w:sz w:val="24"/>
          <w:szCs w:val="24"/>
        </w:rPr>
        <w:t xml:space="preserve">луг в области информационных технологий и связи».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6. Контроль за исполнением настоящего распоряжения возложить на заместителя Губернатора Томской области по образованию, молодежной политике и цифровому развитию.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6"/>
        <w:ind w:left="0" w:right="0" w:firstLine="709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(в ред. распоряжений Губернатора Томской области от 27.01.2017 № 21-р, </w:t>
        <w:br/>
        <w:t xml:space="preserve">от 26.12.2017 № 276-р, от 11.09.2020 № 195-р, от 22.10.2024 № 284-р)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И.о Губернатора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О.В.КОЗЛОВСКАЯ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eastAsia="PT Astra Serif" w:cs="PT Astra Serif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1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Утвержден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распоряжением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ПЕРЕЧЕНЬ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СИСТЕМНОГО И ПРИКЛАДНОГО ПРОГРАММНОГО ОБЕСПЕЧЕНИЯ, ТОВАРОВ,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РАБОТ И УСЛУГ В ОБЛАСТИ ИНФОРМАЦИОННЫХ ТЕХНОЛОГИЙ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  <w:rPr>
          <w:rFonts w:ascii="PT Astra Serif" w:hAnsi="PT Astra Serif" w:cs="PT Astra Serif"/>
          <w:b w:val="0"/>
          <w:bCs w:val="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Список изменяющих документов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  <w:rPr>
          <w:rFonts w:ascii="PT Astra Serif" w:hAnsi="PT Astra Serif" w:cs="PT Astra Serif"/>
          <w:b w:val="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(в ред. распоряжения Губернатора Томской области</w:t>
      </w:r>
      <w:r>
        <w:rPr>
          <w:rFonts w:ascii="PT Astra Serif" w:hAnsi="PT Astra Serif" w:cs="PT Astra Serif"/>
          <w:b w:val="0"/>
          <w:sz w:val="24"/>
          <w:szCs w:val="24"/>
        </w:rPr>
      </w:r>
      <w:r>
        <w:rPr>
          <w:rFonts w:ascii="PT Astra Serif" w:hAnsi="PT Astra Serif" w:cs="PT Astra Serif"/>
          <w:b w:val="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22.10.2024 № 284-р</w:t>
      </w:r>
      <w:r/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05.08.2025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№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223-р</w:t>
      </w:r>
      <w:r/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/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tbl>
      <w:tblPr>
        <w:tblW w:w="9022" w:type="dxa"/>
        <w:tblInd w:w="52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503"/>
        <w:gridCol w:w="6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Код в соответствии с Общероссийским классификатором продукции по видам экономической деятельности ОК 034-2014 (КПЕС 2008)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26: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Оборудование компьютерное, электронное и оптическое: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26.20.40.140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Услуги издательские: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58.29.11.000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системы операционные на электронном носителе;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58.29.12.000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сетевое на электронном носителе;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58.29.13.000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для администрирования баз данных на электронном носителе;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58.29.14.000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средства разработки инструментальные и программное обеспечение языков программирования на электронном носителе;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58.29.21.000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приложения общие для повышения эффективности бизнеса и приложения для домашнего пользования, отдельно реализуемые;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58.29.29.000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прикладное прочее на электронном носителе;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58.29.31.000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системное для загрузки;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58.29.32.000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прикладное для загрузки;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58.29.40.000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обеспечение программное в диалоговом режиме;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58.29.50.000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предоставлению лицензий на право использовать компьютерное программное обеспечение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61: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Услуги телекоммуникационные: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61.10.30.110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передаче данных для целей передачи голосовой информации (IP-телефония);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61.10.30.190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передаче данных по проводным телекоммуникационным сетям прочие;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61.10.4 &lt;*&gt;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телекоммуникационные проводные в информационно-коммуникационной сети Интернет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Продукты программные и услуги по разработке программного обеспечения; консультационные и аналогичные услуги в области информационных технологий: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62.01.11.000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проектированию, разработке информационных технологий для прикладных задач и тестированию программного обеспечения;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62.01.12.000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проектированию и разработке информационных технологий для сетей и систем;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62.02.20 &lt;*&gt;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консультативные по вопросам систем и программному обеспечению;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62.03.11.000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управлению сетями;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62.03.12 &lt;*&gt;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управлению компьютерными системами;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62.09.20 &lt;*&gt;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в области информационных технологий и компьютерные услуги прочие, не включенные в другие группировки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63: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Услуги в области информационных технологий: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63.11.11.000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обработке данных;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63.11.13.000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предоставлению программного обеспечения без его размещения на компьютерном оборудовании пользователя;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tabs>
                <w:tab w:val="clear" w:pos="720" w:leader="none"/>
              </w:tabs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63.11.19.000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прочие по размещению и предоставлению инфраструктуры информационных технологий</w:t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Услуги профессиональные, научные и технические, прочие: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74.90.20.140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(работы) в области защиты информации и обеспечения безопасности критической информационной инфраструктуры;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74.90.20.142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(работы) по разработке информационных и телекоммуникационных систем, защищенных с использованием средств защиты информации;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74.90.20.143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(работы) по мониторингу информационной безопасности средств и систем информатизации;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74.90.20.144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по обеспечению защиты информации;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74.90.20.145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(работы) по шифрованию информации, не содержащей сведений, составляющих государственную тайну, с использованием шифровальных (криптографических) средств в интересах юридических и физических лиц, а также индивидуальных предпринимателей;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74.90.20.149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left"/>
              <w:spacing w:before="0" w:beforeAutospacing="0" w:after="0" w:afterAutospacing="0"/>
              <w:tabs>
                <w:tab w:val="clear" w:pos="720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- услуги (работы) в области защиты информации прочие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</w:tbl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--------------------------------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&lt;*&gt; - ОКПД 2 включает любой знак: подгруппе, видам, категориям, подкатегориям.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eastAsia="PT Astra Serif" w:cs="PT Astra Serif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2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12"/>
          <w:szCs w:val="12"/>
        </w:rPr>
      </w:pPr>
      <w:r>
        <w:rPr>
          <w:rFonts w:ascii="PT Astra Serif" w:hAnsi="PT Astra Serif" w:eastAsia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Утверждена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распоряжением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Форма № 1 согласования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на поставку компьютерной и организационной техники,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системного и прикладного программного обеспечения,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коммуникационного оборудования, выполнение работ и оказание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услуг в области информационных технологий и связи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Исключено. - Распоряжение Губернатора Томской области от 26.12.2017 № 276-р.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2-1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12"/>
          <w:szCs w:val="12"/>
        </w:rPr>
      </w:pPr>
      <w:r>
        <w:rPr>
          <w:rFonts w:ascii="PT Astra Serif" w:hAnsi="PT Astra Serif" w:eastAsia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Утверждена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распоряжением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Форма № 2 согласования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технического задания на выполнение работ (оказание услуг)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 созданию (доработке, развитию) информационной системы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на выполнение работ (оказание услуг) по созданию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(доработке, развитию) информационной системы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Исключено. - Распоряжение Губернатора Томской области от 26.12.2017 № 276-р.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2-2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12"/>
          <w:szCs w:val="12"/>
        </w:rPr>
      </w:pPr>
      <w:r>
        <w:rPr>
          <w:rFonts w:ascii="PT Astra Serif" w:hAnsi="PT Astra Serif" w:eastAsia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  <w:r>
        <w:rPr>
          <w:rFonts w:ascii="PT Astra Serif" w:hAnsi="PT Astra Serif" w:cs="PT Astra Serif"/>
          <w:color w:val="000000"/>
          <w:sz w:val="12"/>
          <w:szCs w:val="12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Утверждена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распоряжением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Форма № 3 согласования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технического задания на выполнение работ (оказание услуг)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 созданию (доработке, развитию)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официального интернет-сайта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на выполнение работ (оказание услуг) по созданию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(доработке, развитию) официального интернет-сайта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eastAsia="PT Astra Serif" w:cs="PT Astra Serif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Исключено. - Распоряжение Губернатора Томской области от 26.12.2017 № 276-р.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3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Утвержден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распоряжением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ПОРЯДОК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СОГЛАСОВАНИЯ ТЕХНИЧЕСКИХ ЗАДАНИЙ НА ПОСТАВКУ ТОВАРОВ,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</w:pPr>
      <w:r>
        <w:rPr>
          <w:rFonts w:ascii="PT Astra Serif" w:hAnsi="PT Astra Serif" w:cs="PT Astra Serif"/>
          <w:sz w:val="24"/>
          <w:szCs w:val="24"/>
        </w:rPr>
        <w:t xml:space="preserve">ВЫПОЛНЕНИЕ РАБОТ И ОКАЗАНИЕ УСЛУГ В ОБЛАСТИ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pStyle w:val="838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ИНФОРМАЦИОННЫХ ТЕХНОЛОГИЙ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jc w:val="left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  <w:rPr>
          <w:rFonts w:ascii="PT Astra Serif" w:hAnsi="PT Astra Serif" w:cs="PT Astra Serif"/>
          <w:b w:val="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Список изменяющих документов</w:t>
      </w:r>
      <w:r>
        <w:rPr>
          <w:rFonts w:ascii="PT Astra Serif" w:hAnsi="PT Astra Serif" w:cs="PT Astra Serif"/>
          <w:b w:val="0"/>
          <w:sz w:val="24"/>
          <w:szCs w:val="24"/>
        </w:rPr>
      </w:r>
      <w:r>
        <w:rPr>
          <w:rFonts w:ascii="PT Astra Serif" w:hAnsi="PT Astra Serif" w:cs="PT Astra Serif"/>
          <w:b w:val="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  <w:rPr>
          <w:rFonts w:ascii="PT Astra Serif" w:hAnsi="PT Astra Serif" w:cs="PT Astra Serif"/>
          <w:b w:val="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(в ред. распоряжения Губернатора Томской области</w:t>
      </w:r>
      <w:r>
        <w:rPr>
          <w:rFonts w:ascii="PT Astra Serif" w:hAnsi="PT Astra Serif" w:cs="PT Astra Serif"/>
          <w:b w:val="0"/>
          <w:sz w:val="24"/>
          <w:szCs w:val="24"/>
        </w:rPr>
      </w:r>
      <w:r>
        <w:rPr>
          <w:rFonts w:ascii="PT Astra Serif" w:hAnsi="PT Astra Serif" w:cs="PT Astra Serif"/>
          <w:b w:val="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tabs>
          <w:tab w:val="clear" w:pos="720" w:leader="none"/>
        </w:tabs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22.10.2024 № 284-р</w:t>
      </w:r>
      <w:r/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05.08.2025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№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223-р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Исполнительные органы Томской области, областные государственные казенные учреждения, областные государственные бюджетные учреждения (далее - Заказчики) представляют на согласование технические задания (далее - ТЗ) в Департамент цифровой трансформации Ад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министрации Томской области (далее - Департамент) по формам согласования, опубликованным в информационно-телекоммуникационной сети «Интернет» на сайте Департамента https://digital.tomsk.gov.ru в подразделе «Закупки в сфере ИКТ» раздела «Деятельность»: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1) на поставку товаров, выполнение работ, оказание услуг по приобретению прикладного программного обеспечения для защиты информации;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2) на приобретение лицензий на использование программного обеспечения;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3) на выполнение работ (оказание услуг) по созданию (доработке, развитию, модернизации) информационной системы;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4) на выполнение работ (оказание услуг) по созданию (доработке, развитию) официального интернет-сайта.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Согласование ТЗ не требуется в случае приобретения компьютерной </w:t>
        <w:br/>
        <w:t xml:space="preserve">и организационной техники, системного и прикладного программного обеспечения, требования к которым установлены в типовом техническом задании на поставку товаров, выполнение работ и оказание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услуг в области информационных технологий.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 Заказчик направляет ТЗ на согласование в электронной форме по адресу электронной почты: tz@tomsk.gov.ru.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Требования к оформлению электронного письма: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1) тема письма указывается в формате: «ТЗ_Наименование Заказчика»;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2) содержание текста письма: фамилия, имя, отчество (последнее - при наличии), должность, номер телефона, адрес электронной почты сотрудника Заказчика, ответственного за составление ТЗ;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3) вложение письма: ТЗ в электронной форме в формате *.xlsx, *.docx, ODF (название вложенного файла должно соответствовать формату: «ТЗ_[наименование Заказчика]_[краткий предмет закупки]».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 В случае если Заказчиком выступает областное государственное учреждение, требуется согласование ТЗ с курирующим его деятельность исполнительным органом Томской области.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  <w:t xml:space="preserve">5. В случае приобретения программ для электронных вычислительных машин и баз данных, происходящих из иностранных государств, а также исключительных прав на такое программное обеспечение и прав использования такого программного обеспечения, реализуемых незав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исимо от вида договора на материальном носителе и (или) в электронном виде по каналам связи, в отношении которых установлен запрет закупок программного обеспечения, происходящего из иностранных государств (далее - программное обеспечение), Заказчик вместе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ТЗ направляет обоснование неприменения запрета закупок программного обеспечения, происходящего из иностранных государств (далее - обоснование). Обоснование оформляется в соответствии с пунктом 5 постановления Правительства Российской Федерации от 23.12.202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4 №N 1875 «"О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(за исключением программного обес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 В случае изменения состава «Единого реестра российских программ для электронных вычислительных машин и баз данных» повторного согласования обоснования не требуется.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 Срок согласования ТЗ не может превышать 10 рабочих дней со дня его поступления на согласование.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8. Все замечания, исправления направляются Заказчику в электронном виде по адресу электронной почты, указанному в письме согласования. Исправленные варианты ТЗ направляются на согласование и рассматриваются в соответствии с настоящим Порядком.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 ТЗ не может быть согласовано в одном из следующих случаев: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1) заявка на согласование оформлена с нарушением требований настоящего Порядка;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2) замечания, направленные ранее Заказчику в электронном виде по адресу электронной почты, указанному в письме Заказчика, не учтены.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0. Методические материалы, необходимые для согласования ТЗ и обоснований, размещаются в информационно-телекоммуникационной сети «Интернет» на сайте Департамента цифровой трансформации Администрации Томской области (https://digital.tomsk.gov.ru) в подраздел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 «Закупки в сфере ИКТ» раздела «Деятельность».</w: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spacing w:before="0" w:beforeAutospacing="0" w:after="0" w:afterAutospacing="0"/>
        <w:shd w:val="nil" w:color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br w:type="page" w:clear="all"/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 4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 распоряжению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Губернатора Томской области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righ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 13.10.2011 № 323-р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left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Форма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Информация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 приобретенных компьютерной и организационной технике,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системном и прикладном программном обеспечении,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коммуникационном оборудовании, выполненных работах 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оказанных услугах в области информационных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технологий и связи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54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Исключено. - Распоряжение Губернатора Томской области от 26.12.2017 № 276-р.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36"/>
        <w:ind w:left="0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pBdr>
          <w:top w:val="single" w:color="000000" w:sz="6" w:space="0"/>
        </w:pBd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erif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link w:val="845"/>
    <w:uiPriority w:val="99"/>
  </w:style>
  <w:style w:type="character" w:styleId="683">
    <w:name w:val="Footer Char"/>
    <w:link w:val="846"/>
    <w:uiPriority w:val="99"/>
  </w:style>
  <w:style w:type="character" w:styleId="684">
    <w:name w:val="Caption Char"/>
    <w:basedOn w:val="834"/>
    <w:link w:val="846"/>
    <w:uiPriority w:val="99"/>
  </w:style>
  <w:style w:type="table" w:styleId="6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widowControl w:val="off"/>
    </w:pPr>
    <w:rPr>
      <w:rFonts w:ascii="PT Astra Serif" w:hAnsi="PT Astra Serif" w:eastAsia="Noto Sans Devanagari" w:cs="PT Astra Serif"/>
      <w:color w:val="auto"/>
      <w:sz w:val="24"/>
      <w:szCs w:val="24"/>
      <w:lang w:val="ru-RU" w:eastAsia="hi-IN" w:bidi="hi-IN"/>
    </w:rPr>
  </w:style>
  <w:style w:type="character" w:styleId="830">
    <w:name w:val="Интернет-ссылка"/>
    <w:rPr>
      <w:color w:val="000080"/>
      <w:u w:val="single"/>
    </w:rPr>
  </w:style>
  <w:style w:type="paragraph" w:styleId="831">
    <w:name w:val="Заголовок"/>
    <w:basedOn w:val="829"/>
    <w:next w:val="832"/>
    <w:qFormat/>
    <w:pPr>
      <w:keepNext/>
      <w:spacing w:before="240" w:after="120"/>
    </w:pPr>
    <w:rPr>
      <w:sz w:val="28"/>
      <w:szCs w:val="28"/>
    </w:rPr>
  </w:style>
  <w:style w:type="paragraph" w:styleId="832">
    <w:name w:val="Body Text"/>
    <w:basedOn w:val="829"/>
    <w:pPr>
      <w:spacing w:before="0" w:after="140" w:line="276" w:lineRule="auto"/>
    </w:pPr>
  </w:style>
  <w:style w:type="paragraph" w:styleId="833">
    <w:name w:val="List"/>
    <w:basedOn w:val="832"/>
    <w:pPr>
      <w:spacing w:before="0" w:after="140" w:line="276" w:lineRule="auto"/>
    </w:pPr>
  </w:style>
  <w:style w:type="paragraph" w:styleId="834">
    <w:name w:val="Caption"/>
    <w:basedOn w:val="829"/>
    <w:qFormat/>
    <w:pPr>
      <w:spacing w:before="120" w:after="120"/>
    </w:pPr>
    <w:rPr>
      <w:i/>
      <w:iCs/>
    </w:rPr>
  </w:style>
  <w:style w:type="paragraph" w:styleId="835">
    <w:name w:val="Указатель"/>
    <w:basedOn w:val="829"/>
    <w:qFormat/>
  </w:style>
  <w:style w:type="paragraph" w:styleId="836">
    <w:name w:val="ConsPlusNormal"/>
    <w:qFormat/>
    <w:pPr>
      <w:widowControl w:val="off"/>
    </w:pPr>
    <w:rPr>
      <w:rFonts w:ascii="Arial" w:hAnsi="Arial" w:eastAsia="Courier New" w:cs="Liberation Serif"/>
      <w:b w:val="0"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37">
    <w:name w:val="ConsPlusNonformat"/>
    <w:qFormat/>
    <w:pPr>
      <w:widowControl w:val="off"/>
    </w:pPr>
    <w:rPr>
      <w:rFonts w:ascii="Courier New" w:hAnsi="Courier New" w:eastAsia="Courier New" w:cs="Liberation Serif"/>
      <w:b w:val="0"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38">
    <w:name w:val="ConsPlusTitle"/>
    <w:qFormat/>
    <w:pPr>
      <w:widowControl w:val="off"/>
    </w:pPr>
    <w:rPr>
      <w:rFonts w:ascii="Arial" w:hAnsi="Arial" w:eastAsia="Courier New" w:cs="Liberation Serif"/>
      <w:b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39">
    <w:name w:val="ConsPlusCell"/>
    <w:qFormat/>
    <w:pPr>
      <w:widowControl w:val="off"/>
    </w:pPr>
    <w:rPr>
      <w:rFonts w:ascii="Courier New" w:hAnsi="Courier New" w:eastAsia="Courier New" w:cs="Liberation Serif"/>
      <w:b w:val="0"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40">
    <w:name w:val="ConsPlusDocList"/>
    <w:qFormat/>
    <w:pPr>
      <w:widowControl w:val="off"/>
    </w:pPr>
    <w:rPr>
      <w:rFonts w:ascii="Tahoma" w:hAnsi="Tahoma" w:eastAsia="Courier New" w:cs="Liberation Serif"/>
      <w:b w:val="0"/>
      <w:i w:val="0"/>
      <w:strike w:val="0"/>
      <w:color w:val="auto"/>
      <w:sz w:val="18"/>
      <w:szCs w:val="24"/>
      <w:u w:val="none"/>
      <w:lang w:val="ru-RU" w:eastAsia="hi-IN" w:bidi="hi-IN"/>
    </w:rPr>
  </w:style>
  <w:style w:type="paragraph" w:styleId="841">
    <w:name w:val="ConsPlusTitlePage"/>
    <w:qFormat/>
    <w:pPr>
      <w:widowControl w:val="off"/>
    </w:pPr>
    <w:rPr>
      <w:rFonts w:ascii="Tahoma" w:hAnsi="Tahoma" w:eastAsia="Courier New" w:cs="Liberation Serif"/>
      <w:b w:val="0"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42">
    <w:name w:val="ConsPlusJurTerm"/>
    <w:qFormat/>
    <w:pPr>
      <w:widowControl w:val="off"/>
    </w:pPr>
    <w:rPr>
      <w:rFonts w:ascii="Tahoma" w:hAnsi="Tahoma" w:eastAsia="Courier New" w:cs="Liberation Serif"/>
      <w:b w:val="0"/>
      <w:i w:val="0"/>
      <w:strike w:val="0"/>
      <w:color w:val="auto"/>
      <w:sz w:val="26"/>
      <w:szCs w:val="24"/>
      <w:u w:val="none"/>
      <w:lang w:val="ru-RU" w:eastAsia="hi-IN" w:bidi="hi-IN"/>
    </w:rPr>
  </w:style>
  <w:style w:type="paragraph" w:styleId="843">
    <w:name w:val="ConsPlusTextList"/>
    <w:qFormat/>
    <w:pPr>
      <w:widowControl w:val="off"/>
    </w:pPr>
    <w:rPr>
      <w:rFonts w:ascii="Arial" w:hAnsi="Arial" w:eastAsia="Courier New" w:cs="Liberation Serif"/>
      <w:b w:val="0"/>
      <w:i w:val="0"/>
      <w:strike w:val="0"/>
      <w:color w:val="auto"/>
      <w:sz w:val="20"/>
      <w:szCs w:val="24"/>
      <w:u w:val="none"/>
      <w:lang w:val="ru-RU" w:eastAsia="hi-IN" w:bidi="hi-IN"/>
    </w:rPr>
  </w:style>
  <w:style w:type="paragraph" w:styleId="844">
    <w:name w:val="Верхний и нижний колонтитулы"/>
    <w:basedOn w:val="829"/>
    <w:qFormat/>
  </w:style>
  <w:style w:type="paragraph" w:styleId="845">
    <w:name w:val="Header"/>
    <w:basedOn w:val="844"/>
  </w:style>
  <w:style w:type="paragraph" w:styleId="846">
    <w:name w:val="Footer"/>
    <w:basedOn w:val="844"/>
  </w:style>
  <w:style w:type="paragraph" w:styleId="847">
    <w:name w:val="Содержимое таблицы"/>
    <w:basedOn w:val="829"/>
    <w:qFormat/>
  </w:style>
  <w:style w:type="paragraph" w:styleId="848">
    <w:name w:val="Заголовок таблицы"/>
    <w:basedOn w:val="847"/>
    <w:qFormat/>
    <w:pPr>
      <w:jc w:val="center"/>
    </w:pPr>
    <w:rPr>
      <w:b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4023.00.09</Company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13.10.2011 N 323-р(ред. от 01.12.2020)"О поставках компьютерной и организационной техники, системного и прикладного программного обеспечения, коммуникационного оборудования, выполнении работ и оказании услуг в области информационных технологий и связи"(вместе с "Перечнем компьютерной и организационной техники, системного и прикладного программного обеспечения, коммуникационного оборудования, работ и услуг в области информационных технологий и связи", "Порядком </dc:title>
  <dc:subject/>
  <dc:creator/>
  <dc:description/>
  <dc:language>ru-RU</dc:language>
  <cp:lastModifiedBy>panasyukad</cp:lastModifiedBy>
  <cp:revision>3</cp:revision>
  <dcterms:created xsi:type="dcterms:W3CDTF">2024-02-20T12:13:00Z</dcterms:created>
  <dcterms:modified xsi:type="dcterms:W3CDTF">2025-09-11T10:40:07Z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4023.00.09</vt:lpwstr>
  </property>
</Properties>
</file>